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2" w:right="0" w:hanging="72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This Schedule provides CCS and the Buyer with the option of using Credit Ratings and/or Financial Indicators for the purposes of the Financial Distress </w:t>
      </w:r>
      <w:r w:rsidDel="00000000" w:rsidR="00000000" w:rsidRPr="00000000">
        <w:rPr>
          <w:rFonts w:ascii="Arial" w:cs="Arial" w:eastAsia="Arial" w:hAnsi="Arial"/>
          <w:sz w:val="24"/>
          <w:szCs w:val="24"/>
          <w:highlight w:val="yellow"/>
          <w:rtl w:val="0"/>
        </w:rPr>
        <w:t xml:space="preserve">P</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rovisions. Buyers may use any combination of these indicators to suit their own</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requirements subject to the detailed guidance below.]</w:t>
      </w:r>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 </w:t>
      </w:r>
    </w:p>
    <w:p w:rsidR="00000000" w:rsidDel="00000000" w:rsidP="00000000" w:rsidRDefault="00000000" w:rsidRPr="00000000" w14:paraId="0000000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definitions shall apply:</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865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4"/>
        <w:gridCol w:w="5952"/>
        <w:tblGridChange w:id="0">
          <w:tblGrid>
            <w:gridCol w:w="2704"/>
            <w:gridCol w:w="5952"/>
          </w:tblGrid>
        </w:tblGridChange>
      </w:tblGrid>
      <w:tr>
        <w:trPr>
          <w:cantSplit w:val="0"/>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“Applicable Financial Indicators”</w:t>
            </w:r>
          </w:p>
        </w:tc>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3.4645669291342" w:right="0" w:firstLine="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financial indicators from Paragraph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5.1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46456692913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Supplier’s board of directors;</w:t>
            </w:r>
          </w:p>
        </w:tc>
      </w:tr>
      <w:tr>
        <w:trPr>
          <w:cantSplit w:val="0"/>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46456692913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46456692913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Markets and Suppliers Team”</w:t>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46456692913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46456692913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“FDE Group”</w:t>
            </w:r>
          </w:p>
        </w:tc>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46456692913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46456692913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events listed in Paragraph 3.1 of this Schedule;</w:t>
            </w:r>
          </w:p>
        </w:tc>
      </w:tr>
      <w:tr>
        <w:trPr>
          <w:cantSplit w:val="0"/>
          <w:tblHeader w:val="0"/>
        </w:trPr>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Remediation Plan”</w:t>
            </w:r>
          </w:p>
        </w:tc>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46456692913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tc>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46456692913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sz w:val="24"/>
                <w:szCs w:val="24"/>
                <w:rtl w:val="0"/>
              </w:rPr>
              <w:t xml:space="preserve">Financial Threshold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w:t>
            </w:r>
          </w:p>
        </w:tc>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46456692913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thresholds for each of the Financial Indicators set out at paragraph 5.1 of this Schedule;</w:t>
            </w:r>
          </w:p>
        </w:tc>
      </w:tr>
      <w:tr>
        <w:trPr>
          <w:cantSplit w:val="0"/>
          <w:tblHeader w:val="0"/>
        </w:trPr>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Suppliers”</w:t>
            </w:r>
          </w:p>
        </w:tc>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46456692913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46456692913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 of this Schedule;</w:t>
            </w:r>
          </w:p>
        </w:tc>
      </w:tr>
      <w:tr>
        <w:trPr>
          <w:cantSplit w:val="0"/>
          <w:tblHeader w:val="0"/>
        </w:trPr>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“Strategic Supplier”</w:t>
            </w:r>
          </w:p>
        </w:tc>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46456692913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suppliers to government listed at </w:t>
            </w:r>
            <w:hyperlink r:id="r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https://www.gov.uk/government/publications/strategic-suppliers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FDE Group and the consequences of a change to that financial standing.</w:t>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of this Schedule shall survive: </w:t>
      </w:r>
    </w:p>
    <w:p w:rsidR="00000000" w:rsidDel="00000000" w:rsidP="00000000" w:rsidRDefault="00000000" w:rsidRPr="00000000" w14:paraId="0000002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2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1004"/>
        <w:jc w:val="left"/>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Warranties and duty to notify</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position or, as appropriate, the financial performance of each of the Supplier, Guarantor and Key Sub-contractors satisfies the </w:t>
      </w:r>
      <w:r w:rsidDel="00000000" w:rsidR="00000000" w:rsidRPr="00000000">
        <w:rPr>
          <w:rFonts w:ascii="Arial" w:cs="Arial" w:eastAsia="Arial" w:hAnsi="Arial"/>
          <w:sz w:val="24"/>
          <w:szCs w:val="24"/>
          <w:rtl w:val="0"/>
        </w:rPr>
        <w:t xml:space="preserve">Financial Threshold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w:t>
      </w:r>
    </w:p>
    <w:p w:rsidR="00000000" w:rsidDel="00000000" w:rsidP="00000000" w:rsidRDefault="00000000" w:rsidRPr="00000000" w14:paraId="0000002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02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and report on the Financial Indicators for each entity in the FDE Group against the </w:t>
      </w:r>
      <w:r w:rsidDel="00000000" w:rsidR="00000000" w:rsidRPr="00000000">
        <w:rPr>
          <w:rFonts w:ascii="Arial" w:cs="Arial" w:eastAsia="Arial" w:hAnsi="Arial"/>
          <w:sz w:val="24"/>
          <w:szCs w:val="24"/>
          <w:rtl w:val="0"/>
        </w:rPr>
        <w:t xml:space="preserve">Financial Threshold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2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3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report submitted by the Supplier pursuant to paragraph 2.3.2 shall:</w:t>
      </w:r>
    </w:p>
    <w:p w:rsidR="00000000" w:rsidDel="00000000" w:rsidP="00000000" w:rsidRDefault="00000000" w:rsidRPr="00000000" w14:paraId="0000003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03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03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Distress events</w:t>
      </w:r>
    </w:p>
    <w:p w:rsidR="00000000" w:rsidDel="00000000" w:rsidP="00000000" w:rsidRDefault="00000000" w:rsidRPr="00000000" w14:paraId="0000003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shall be Financial Distress Events:</w:t>
      </w:r>
    </w:p>
    <w:p w:rsidR="00000000" w:rsidDel="00000000" w:rsidP="00000000" w:rsidRDefault="00000000" w:rsidRPr="00000000" w14:paraId="0000003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03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0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3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3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4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an FDE Group entity of any financial indebtedness;</w:t>
      </w:r>
    </w:p>
    <w:p w:rsidR="00000000" w:rsidDel="00000000" w:rsidP="00000000" w:rsidRDefault="00000000" w:rsidRPr="00000000" w14:paraId="0000004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04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04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6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Financial Indicators set out at Paragraph 5 for any of the FDE Group entities failing to meet the required </w:t>
      </w:r>
      <w:r w:rsidDel="00000000" w:rsidR="00000000" w:rsidRPr="00000000">
        <w:rPr>
          <w:rFonts w:ascii="Arial" w:cs="Arial" w:eastAsia="Arial" w:hAnsi="Arial"/>
          <w:sz w:val="24"/>
          <w:szCs w:val="24"/>
          <w:rtl w:val="0"/>
        </w:rPr>
        <w:t xml:space="preserve">Financial Threshold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0"/>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Consequences</w:t>
      </w: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 of Financial Distress Events</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w:t>
      </w:r>
    </w:p>
    <w:p w:rsidR="00000000" w:rsidDel="00000000" w:rsidP="00000000" w:rsidRDefault="00000000" w:rsidRPr="00000000" w14:paraId="0000004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04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0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4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4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5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5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Remediation Plan by the Relevant Authority, the Supplier shall:</w:t>
      </w:r>
    </w:p>
    <w:p w:rsidR="00000000" w:rsidDel="00000000" w:rsidP="00000000" w:rsidRDefault="00000000" w:rsidRPr="00000000" w14:paraId="000000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fortnightly):</w:t>
      </w:r>
    </w:p>
    <w:p w:rsidR="00000000" w:rsidDel="00000000" w:rsidP="00000000" w:rsidRDefault="00000000" w:rsidRPr="00000000" w14:paraId="0000005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5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Indicators</w:t>
      </w:r>
    </w:p>
    <w:p w:rsidR="00000000" w:rsidDel="00000000" w:rsidP="00000000" w:rsidRDefault="00000000" w:rsidRPr="00000000" w14:paraId="0000005F">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The Financial Indicators set out in the table at paragraph 5.1 are  established at Framework level to satisfy Cabinet Office Contract Tiering Tool requirements. For the purposes of your call off activity you may check that the original assessment of the indicators remains valid, but you may not re-run those assessments. You may also opt to ask the Supplier to monitor themselves according to some, rather than all, of the indicators in accordance with your internal procedures but you should not introduce new indicators or amend those set out below. Please take your own legal advice if you are uncertain how to proceed.  ]</w:t>
      </w:r>
    </w:p>
    <w:p w:rsidR="00000000" w:rsidDel="00000000" w:rsidP="00000000" w:rsidRDefault="00000000" w:rsidRPr="00000000" w14:paraId="0000006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Calculation</w:t>
            </w:r>
            <w:r w:rsidDel="00000000" w:rsidR="00000000" w:rsidRPr="00000000">
              <w:rPr>
                <w:rFonts w:ascii="Arial" w:cs="Arial" w:eastAsia="Arial" w:hAnsi="Arial"/>
                <w:b w:val="1"/>
                <w:i w:val="0"/>
                <w:smallCaps w:val="0"/>
                <w:strike w:val="0"/>
                <w:color w:val="000000"/>
                <w:sz w:val="24"/>
                <w:szCs w:val="24"/>
                <w:u w:val="none"/>
                <w:shd w:fill="auto" w:val="clear"/>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Financial Threshold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p>
        </w:tc>
        <w:tc>
          <w:tcPr>
            <w:shd w:fill="d9d9d9" w:val="clea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bookmarkStart w:colFirst="0" w:colLast="0" w:name="_heading=h.1ci93xb"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Monitoring and Reporting Frequency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[if different from the default position set out in Paragraph 2.3.2)]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5">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w:t>
            </w:r>
          </w:p>
          <w:p w:rsidR="00000000" w:rsidDel="00000000" w:rsidP="00000000" w:rsidRDefault="00000000" w:rsidRPr="00000000" w14:paraId="00000066">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Turnover ratio</w:t>
            </w:r>
          </w:p>
          <w:p w:rsidR="00000000" w:rsidDel="00000000" w:rsidP="00000000" w:rsidRDefault="00000000" w:rsidRPr="00000000" w14:paraId="00000067">
            <w:pPr>
              <w:spacing w:after="200" w:before="100" w:lineRule="auto"/>
              <w:jc w:val="left"/>
              <w:rPr>
                <w:rFonts w:ascii="Arial" w:cs="Arial" w:eastAsia="Arial" w:hAnsi="Arial"/>
                <w:b w:val="1"/>
                <w:sz w:val="24"/>
                <w:szCs w:val="24"/>
              </w:rPr>
            </w:pPr>
            <w:r w:rsidDel="00000000" w:rsidR="00000000" w:rsidRPr="00000000">
              <w:rPr>
                <w:rtl w:val="0"/>
              </w:rPr>
            </w:r>
          </w:p>
        </w:tc>
        <w:tc>
          <w:tcPr>
            <w:vAlign w:val="center"/>
          </w:tcPr>
          <w:p w:rsidR="00000000" w:rsidDel="00000000" w:rsidP="00000000" w:rsidRDefault="00000000" w:rsidRPr="00000000" w14:paraId="00000068">
            <w:pPr>
              <w:spacing w:after="200" w:before="100" w:lineRule="auto"/>
              <w:jc w:val="center"/>
              <w:rPr>
                <w:rFonts w:ascii="Arial" w:cs="Arial" w:eastAsia="Arial" w:hAnsi="Arial"/>
                <w:sz w:val="24"/>
                <w:szCs w:val="24"/>
              </w:rPr>
            </w:pPr>
            <w:r w:rsidDel="00000000" w:rsidR="00000000" w:rsidRPr="00000000">
              <w:rPr>
                <w:rFonts w:ascii="Arial" w:cs="Arial" w:eastAsia="Arial" w:hAnsi="Arial"/>
                <w:i w:val="1"/>
                <w:sz w:val="24"/>
                <w:szCs w:val="24"/>
                <w:rtl w:val="0"/>
              </w:rPr>
              <w:t xml:space="preserve">[Turnov</w:t>
            </w:r>
            <w:r w:rsidDel="00000000" w:rsidR="00000000" w:rsidRPr="00000000">
              <w:rPr>
                <w:rFonts w:ascii="Arial" w:cs="Arial" w:eastAsia="Arial" w:hAnsi="Arial"/>
                <w:sz w:val="24"/>
                <w:szCs w:val="24"/>
                <w:rtl w:val="0"/>
              </w:rPr>
              <w:t xml:space="preserve">er</w:t>
            </w:r>
          </w:p>
          <w:p w:rsidR="00000000" w:rsidDel="00000000" w:rsidP="00000000" w:rsidRDefault="00000000" w:rsidRPr="00000000" w14:paraId="00000069">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er Ratio = Total Income/Annual Contract Value]</w:t>
            </w:r>
            <w:r w:rsidDel="00000000" w:rsidR="00000000" w:rsidRPr="00000000">
              <w:rPr>
                <w:rtl w:val="0"/>
              </w:rPr>
            </w:r>
          </w:p>
        </w:tc>
        <w:tc>
          <w:tcPr>
            <w:vAlign w:val="center"/>
          </w:tcPr>
          <w:p w:rsidR="00000000" w:rsidDel="00000000" w:rsidP="00000000" w:rsidRDefault="00000000" w:rsidRPr="00000000" w14:paraId="0000006A">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&lt; 1 times</w:t>
            </w:r>
          </w:p>
        </w:tc>
        <w:tc>
          <w:tcPr>
            <w:vAlign w:val="center"/>
          </w:tcPr>
          <w:p w:rsidR="00000000" w:rsidDel="00000000" w:rsidP="00000000" w:rsidRDefault="00000000" w:rsidRPr="00000000" w14:paraId="0000006B">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 in arrears within [90] days of each accounting reference date based upon figures for the 12 months ending on the relevant accounting reference date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C">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w:t>
            </w:r>
          </w:p>
          <w:p w:rsidR="00000000" w:rsidDel="00000000" w:rsidP="00000000" w:rsidRDefault="00000000" w:rsidRPr="00000000" w14:paraId="0000006D">
            <w:pPr>
              <w:spacing w:after="200" w:before="100" w:lineRule="auto"/>
              <w:jc w:val="left"/>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[Operating Margin]</w:t>
            </w:r>
          </w:p>
          <w:p w:rsidR="00000000" w:rsidDel="00000000" w:rsidP="00000000" w:rsidRDefault="00000000" w:rsidRPr="00000000" w14:paraId="0000006E">
            <w:pPr>
              <w:spacing w:after="200" w:before="100" w:lineRule="auto"/>
              <w:jc w:val="left"/>
              <w:rPr>
                <w:rFonts w:ascii="Arial" w:cs="Arial" w:eastAsia="Arial" w:hAnsi="Arial"/>
                <w:b w:val="1"/>
                <w:sz w:val="24"/>
                <w:szCs w:val="24"/>
              </w:rPr>
            </w:pPr>
            <w:r w:rsidDel="00000000" w:rsidR="00000000" w:rsidRPr="00000000">
              <w:rPr>
                <w:rtl w:val="0"/>
              </w:rPr>
            </w:r>
          </w:p>
        </w:tc>
        <w:tc>
          <w:tcPr>
            <w:vAlign w:val="center"/>
          </w:tcPr>
          <w:p w:rsidR="00000000" w:rsidDel="00000000" w:rsidP="00000000" w:rsidRDefault="00000000" w:rsidRPr="00000000" w14:paraId="0000006F">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[Operating Margin = Operating Profit / Revenue]</w:t>
            </w:r>
            <w:r w:rsidDel="00000000" w:rsidR="00000000" w:rsidRPr="00000000">
              <w:rPr>
                <w:rtl w:val="0"/>
              </w:rPr>
            </w:r>
          </w:p>
        </w:tc>
        <w:tc>
          <w:tcPr>
            <w:vAlign w:val="center"/>
          </w:tcPr>
          <w:p w:rsidR="00000000" w:rsidDel="00000000" w:rsidP="00000000" w:rsidRDefault="00000000" w:rsidRPr="00000000" w14:paraId="00000070">
            <w:pPr>
              <w:spacing w:after="200" w:before="100" w:lineRule="auto"/>
              <w:jc w:val="center"/>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rtl w:val="0"/>
              </w:rPr>
              <w:t xml:space="preserve">&lt; 3%</w:t>
            </w:r>
            <w:r w:rsidDel="00000000" w:rsidR="00000000" w:rsidRPr="00000000">
              <w:rPr>
                <w:rtl w:val="0"/>
              </w:rPr>
            </w:r>
          </w:p>
        </w:tc>
        <w:tc>
          <w:tcPr>
            <w:vAlign w:val="center"/>
          </w:tcPr>
          <w:p w:rsidR="00000000" w:rsidDel="00000000" w:rsidP="00000000" w:rsidRDefault="00000000" w:rsidRPr="00000000" w14:paraId="00000071">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w:t>
            </w:r>
            <w:r w:rsidDel="00000000" w:rsidR="00000000" w:rsidRPr="00000000">
              <w:rPr>
                <w:rFonts w:ascii="Arial" w:cs="Arial" w:eastAsia="Arial" w:hAnsi="Arial"/>
                <w:i w:val="1"/>
                <w:sz w:val="24"/>
                <w:szCs w:val="24"/>
                <w:highlight w:val="yellow"/>
                <w:rtl w:val="0"/>
              </w:rPr>
              <w:t xml:space="preserve">yearly</w:t>
            </w:r>
            <w:r w:rsidDel="00000000" w:rsidR="00000000" w:rsidRPr="00000000">
              <w:rPr>
                <w:rFonts w:ascii="Arial" w:cs="Arial" w:eastAsia="Arial" w:hAnsi="Arial"/>
                <w:i w:val="1"/>
                <w:sz w:val="24"/>
                <w:szCs w:val="24"/>
                <w:rtl w:val="0"/>
              </w:rPr>
              <w:t xml:space="preserve"> in arrears within </w:t>
            </w:r>
            <w:r w:rsidDel="00000000" w:rsidR="00000000" w:rsidRPr="00000000">
              <w:rPr>
                <w:rFonts w:ascii="Arial" w:cs="Arial" w:eastAsia="Arial" w:hAnsi="Arial"/>
                <w:i w:val="1"/>
                <w:sz w:val="24"/>
                <w:szCs w:val="24"/>
                <w:highlight w:val="yellow"/>
                <w:rtl w:val="0"/>
              </w:rPr>
              <w:t xml:space="preserve">90</w:t>
            </w:r>
            <w:r w:rsidDel="00000000" w:rsidR="00000000" w:rsidRPr="00000000">
              <w:rPr>
                <w:rFonts w:ascii="Arial" w:cs="Arial" w:eastAsia="Arial" w:hAnsi="Arial"/>
                <w:i w:val="1"/>
                <w:sz w:val="24"/>
                <w:szCs w:val="24"/>
                <w:rtl w:val="0"/>
              </w:rPr>
              <w:t xml:space="preserve"> days of each </w:t>
            </w:r>
            <w:r w:rsidDel="00000000" w:rsidR="00000000" w:rsidRPr="00000000">
              <w:rPr>
                <w:rFonts w:ascii="Arial" w:cs="Arial" w:eastAsia="Arial" w:hAnsi="Arial"/>
                <w:i w:val="1"/>
                <w:sz w:val="24"/>
                <w:szCs w:val="24"/>
                <w:highlight w:val="yellow"/>
                <w:rtl w:val="0"/>
              </w:rPr>
              <w:t xml:space="preserve">accounting reference date</w:t>
            </w:r>
            <w:r w:rsidDel="00000000" w:rsidR="00000000" w:rsidRPr="00000000">
              <w:rPr>
                <w:rFonts w:ascii="Arial" w:cs="Arial" w:eastAsia="Arial" w:hAnsi="Arial"/>
                <w:i w:val="1"/>
                <w:sz w:val="24"/>
                <w:szCs w:val="24"/>
                <w:rtl w:val="0"/>
              </w:rPr>
              <w:t xml:space="preserve"> based upon figures for the 12 months ending on the relevant </w:t>
            </w:r>
            <w:r w:rsidDel="00000000" w:rsidR="00000000" w:rsidRPr="00000000">
              <w:rPr>
                <w:rFonts w:ascii="Arial" w:cs="Arial" w:eastAsia="Arial" w:hAnsi="Arial"/>
                <w:i w:val="1"/>
                <w:sz w:val="24"/>
                <w:szCs w:val="24"/>
                <w:highlight w:val="yellow"/>
                <w:rtl w:val="0"/>
              </w:rPr>
              <w:t xml:space="preserve">accounting reference date.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2">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w:t>
            </w:r>
          </w:p>
          <w:p w:rsidR="00000000" w:rsidDel="00000000" w:rsidP="00000000" w:rsidRDefault="00000000" w:rsidRPr="00000000" w14:paraId="00000073">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Debt to EBITDA Ratio]</w:t>
            </w:r>
            <w:r w:rsidDel="00000000" w:rsidR="00000000" w:rsidRPr="00000000">
              <w:rPr>
                <w:rtl w:val="0"/>
              </w:rPr>
            </w:r>
          </w:p>
        </w:tc>
        <w:tc>
          <w:tcPr>
            <w:vAlign w:val="center"/>
          </w:tcPr>
          <w:p w:rsidR="00000000" w:rsidDel="00000000" w:rsidP="00000000" w:rsidRDefault="00000000" w:rsidRPr="00000000" w14:paraId="00000074">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[Net Debt to EBITDA ratio = Net Debt / EBITDA]</w:t>
            </w:r>
            <w:r w:rsidDel="00000000" w:rsidR="00000000" w:rsidRPr="00000000">
              <w:rPr>
                <w:rtl w:val="0"/>
              </w:rPr>
            </w:r>
          </w:p>
        </w:tc>
        <w:tc>
          <w:tcPr>
            <w:vAlign w:val="center"/>
          </w:tcPr>
          <w:p w:rsidR="00000000" w:rsidDel="00000000" w:rsidP="00000000" w:rsidRDefault="00000000" w:rsidRPr="00000000" w14:paraId="00000075">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&gt; 3.5 times</w:t>
            </w:r>
          </w:p>
        </w:tc>
        <w:tc>
          <w:tcPr>
            <w:vAlign w:val="center"/>
          </w:tcPr>
          <w:p w:rsidR="00000000" w:rsidDel="00000000" w:rsidP="00000000" w:rsidRDefault="00000000" w:rsidRPr="00000000" w14:paraId="00000076">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w:t>
            </w:r>
            <w:r w:rsidDel="00000000" w:rsidR="00000000" w:rsidRPr="00000000">
              <w:rPr>
                <w:rFonts w:ascii="Arial" w:cs="Arial" w:eastAsia="Arial" w:hAnsi="Arial"/>
                <w:i w:val="1"/>
                <w:color w:val="7030a0"/>
                <w:sz w:val="24"/>
                <w:szCs w:val="24"/>
                <w:rtl w:val="0"/>
              </w:rPr>
              <w:t xml:space="preserve">] </w:t>
            </w:r>
            <w:r w:rsidDel="00000000" w:rsidR="00000000" w:rsidRPr="00000000">
              <w:rPr>
                <w:rFonts w:ascii="Arial" w:cs="Arial" w:eastAsia="Arial" w:hAnsi="Arial"/>
                <w:i w:val="1"/>
                <w:sz w:val="24"/>
                <w:szCs w:val="24"/>
                <w:rtl w:val="0"/>
              </w:rPr>
              <w:t xml:space="preserve">in arrears within </w:t>
            </w:r>
            <w:r w:rsidDel="00000000" w:rsidR="00000000" w:rsidRPr="00000000">
              <w:rPr>
                <w:rFonts w:ascii="Arial" w:cs="Arial" w:eastAsia="Arial" w:hAnsi="Arial"/>
                <w:i w:val="1"/>
                <w:color w:val="7030a0"/>
                <w:sz w:val="24"/>
                <w:szCs w:val="24"/>
                <w:rtl w:val="0"/>
              </w:rPr>
              <w:t xml:space="preserve">[</w:t>
            </w:r>
            <w:r w:rsidDel="00000000" w:rsidR="00000000" w:rsidRPr="00000000">
              <w:rPr>
                <w:rFonts w:ascii="Arial" w:cs="Arial" w:eastAsia="Arial" w:hAnsi="Arial"/>
                <w:i w:val="1"/>
                <w:sz w:val="24"/>
                <w:szCs w:val="24"/>
                <w:rtl w:val="0"/>
              </w:rPr>
              <w:t xml:space="preserve">90] days of each [accounting reference date</w:t>
            </w:r>
            <w:r w:rsidDel="00000000" w:rsidR="00000000" w:rsidRPr="00000000">
              <w:rPr>
                <w:rFonts w:ascii="Arial" w:cs="Arial" w:eastAsia="Arial" w:hAnsi="Arial"/>
                <w:i w:val="1"/>
                <w:color w:val="7030a0"/>
                <w:sz w:val="24"/>
                <w:szCs w:val="24"/>
                <w:rtl w:val="0"/>
              </w:rPr>
              <w:t xml:space="preserve">]</w:t>
            </w:r>
            <w:r w:rsidDel="00000000" w:rsidR="00000000" w:rsidRPr="00000000">
              <w:rPr>
                <w:rFonts w:ascii="Arial" w:cs="Arial" w:eastAsia="Arial" w:hAnsi="Arial"/>
                <w:i w:val="1"/>
                <w:sz w:val="24"/>
                <w:szCs w:val="24"/>
                <w:rtl w:val="0"/>
              </w:rPr>
              <w:t xml:space="preserve"> based upon </w:t>
            </w:r>
            <w:r w:rsidDel="00000000" w:rsidR="00000000" w:rsidRPr="00000000">
              <w:rPr>
                <w:rFonts w:ascii="Arial" w:cs="Arial" w:eastAsia="Arial" w:hAnsi="Arial"/>
                <w:i w:val="1"/>
                <w:color w:val="7030a0"/>
                <w:sz w:val="24"/>
                <w:szCs w:val="24"/>
                <w:rtl w:val="0"/>
              </w:rPr>
              <w:t xml:space="preserve">[</w:t>
            </w:r>
            <w:r w:rsidDel="00000000" w:rsidR="00000000" w:rsidRPr="00000000">
              <w:rPr>
                <w:rFonts w:ascii="Arial" w:cs="Arial" w:eastAsia="Arial" w:hAnsi="Arial"/>
                <w:i w:val="1"/>
                <w:sz w:val="24"/>
                <w:szCs w:val="24"/>
                <w:rtl w:val="0"/>
              </w:rPr>
              <w:t xml:space="preserve">EBITDA] for the 12 months ending on, and Net Debt at, the relevant [accounting reference date]</w:t>
            </w:r>
          </w:p>
        </w:tc>
      </w:tr>
      <w:tr>
        <w:trPr>
          <w:cantSplit w:val="0"/>
          <w:tblHeader w:val="0"/>
        </w:trPr>
        <w:tc>
          <w:tcPr>
            <w:vAlign w:val="center"/>
          </w:tcPr>
          <w:p w:rsidR="00000000" w:rsidDel="00000000" w:rsidP="00000000" w:rsidRDefault="00000000" w:rsidRPr="00000000" w14:paraId="00000077">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w:t>
            </w:r>
          </w:p>
          <w:p w:rsidR="00000000" w:rsidDel="00000000" w:rsidP="00000000" w:rsidRDefault="00000000" w:rsidRPr="00000000" w14:paraId="00000078">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Debt + Net Pension Deficit to EBITDA ratio]</w:t>
            </w:r>
            <w:r w:rsidDel="00000000" w:rsidR="00000000" w:rsidRPr="00000000">
              <w:rPr>
                <w:rtl w:val="0"/>
              </w:rPr>
            </w:r>
          </w:p>
        </w:tc>
        <w:tc>
          <w:tcPr>
            <w:vAlign w:val="center"/>
          </w:tcPr>
          <w:p w:rsidR="00000000" w:rsidDel="00000000" w:rsidP="00000000" w:rsidRDefault="00000000" w:rsidRPr="00000000" w14:paraId="00000079">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[Net Debt + Net Pension Deficit to EBITDA Ratio = (Net Debt + Net Pension Deficit) / EBITDA]</w:t>
            </w:r>
            <w:r w:rsidDel="00000000" w:rsidR="00000000" w:rsidRPr="00000000">
              <w:rPr>
                <w:rtl w:val="0"/>
              </w:rPr>
            </w:r>
          </w:p>
        </w:tc>
        <w:tc>
          <w:tcPr>
            <w:vAlign w:val="center"/>
          </w:tcPr>
          <w:p w:rsidR="00000000" w:rsidDel="00000000" w:rsidP="00000000" w:rsidRDefault="00000000" w:rsidRPr="00000000" w14:paraId="0000007A">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&gt; 5 times</w:t>
            </w:r>
          </w:p>
        </w:tc>
        <w:tc>
          <w:tcPr>
            <w:vAlign w:val="center"/>
          </w:tcPr>
          <w:p w:rsidR="00000000" w:rsidDel="00000000" w:rsidP="00000000" w:rsidRDefault="00000000" w:rsidRPr="00000000" w14:paraId="0000007B">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 in arrears within 90 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C">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w:t>
            </w:r>
          </w:p>
          <w:p w:rsidR="00000000" w:rsidDel="00000000" w:rsidP="00000000" w:rsidRDefault="00000000" w:rsidRPr="00000000" w14:paraId="0000007D">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Interest Paid Cover]</w:t>
            </w:r>
            <w:r w:rsidDel="00000000" w:rsidR="00000000" w:rsidRPr="00000000">
              <w:rPr>
                <w:rtl w:val="0"/>
              </w:rPr>
            </w:r>
          </w:p>
        </w:tc>
        <w:tc>
          <w:tcPr>
            <w:vAlign w:val="center"/>
          </w:tcPr>
          <w:p w:rsidR="00000000" w:rsidDel="00000000" w:rsidP="00000000" w:rsidRDefault="00000000" w:rsidRPr="00000000" w14:paraId="0000007E">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[Net Interest Paid Cover = Earnings Before Interest and Tax / Net Interest Paid]</w:t>
            </w:r>
            <w:r w:rsidDel="00000000" w:rsidR="00000000" w:rsidRPr="00000000">
              <w:rPr>
                <w:rtl w:val="0"/>
              </w:rPr>
            </w:r>
          </w:p>
        </w:tc>
        <w:tc>
          <w:tcPr>
            <w:vAlign w:val="center"/>
          </w:tcPr>
          <w:p w:rsidR="00000000" w:rsidDel="00000000" w:rsidP="00000000" w:rsidRDefault="00000000" w:rsidRPr="00000000" w14:paraId="0000007F">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&lt; 2 times</w:t>
            </w:r>
          </w:p>
        </w:tc>
        <w:tc>
          <w:tcPr>
            <w:vAlign w:val="center"/>
          </w:tcPr>
          <w:p w:rsidR="00000000" w:rsidDel="00000000" w:rsidP="00000000" w:rsidRDefault="00000000" w:rsidRPr="00000000" w14:paraId="00000080">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w:t>
            </w:r>
            <w:r w:rsidDel="00000000" w:rsidR="00000000" w:rsidRPr="00000000">
              <w:rPr>
                <w:rFonts w:ascii="Arial" w:cs="Arial" w:eastAsia="Arial" w:hAnsi="Arial"/>
                <w:i w:val="1"/>
                <w:color w:val="8064a2"/>
                <w:sz w:val="24"/>
                <w:szCs w:val="24"/>
                <w:rtl w:val="0"/>
              </w:rPr>
              <w:t xml:space="preserve"> </w:t>
            </w:r>
            <w:r w:rsidDel="00000000" w:rsidR="00000000" w:rsidRPr="00000000">
              <w:rPr>
                <w:rFonts w:ascii="Arial" w:cs="Arial" w:eastAsia="Arial" w:hAnsi="Arial"/>
                <w:i w:val="1"/>
                <w:sz w:val="24"/>
                <w:szCs w:val="24"/>
                <w:rtl w:val="0"/>
              </w:rPr>
              <w:t xml:space="preserve">in arrears within 90 days of each accounting reference date based upon figures for the 12 months ending on the relevant accounting reference date.</w:t>
            </w:r>
          </w:p>
        </w:tc>
      </w:tr>
      <w:tr>
        <w:trPr>
          <w:cantSplit w:val="0"/>
          <w:tblHeader w:val="0"/>
        </w:trPr>
        <w:tc>
          <w:tcPr>
            <w:vAlign w:val="center"/>
          </w:tcPr>
          <w:p w:rsidR="00000000" w:rsidDel="00000000" w:rsidP="00000000" w:rsidRDefault="00000000" w:rsidRPr="00000000" w14:paraId="00000081">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w:t>
            </w:r>
          </w:p>
          <w:p w:rsidR="00000000" w:rsidDel="00000000" w:rsidP="00000000" w:rsidRDefault="00000000" w:rsidRPr="00000000" w14:paraId="00000082">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[Acid Ratio]</w:t>
            </w:r>
            <w:r w:rsidDel="00000000" w:rsidR="00000000" w:rsidRPr="00000000">
              <w:rPr>
                <w:rtl w:val="0"/>
              </w:rPr>
            </w:r>
          </w:p>
        </w:tc>
        <w:tc>
          <w:tcPr>
            <w:vAlign w:val="center"/>
          </w:tcPr>
          <w:p w:rsidR="00000000" w:rsidDel="00000000" w:rsidP="00000000" w:rsidRDefault="00000000" w:rsidRPr="00000000" w14:paraId="00000083">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[Acid Ratio = (Current Assets – Inventories) / Current Liabilities]</w:t>
            </w:r>
            <w:r w:rsidDel="00000000" w:rsidR="00000000" w:rsidRPr="00000000">
              <w:rPr>
                <w:rtl w:val="0"/>
              </w:rPr>
            </w:r>
          </w:p>
        </w:tc>
        <w:tc>
          <w:tcPr>
            <w:vAlign w:val="center"/>
          </w:tcPr>
          <w:p w:rsidR="00000000" w:rsidDel="00000000" w:rsidP="00000000" w:rsidRDefault="00000000" w:rsidRPr="00000000" w14:paraId="00000084">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&lt; 1 times</w:t>
            </w:r>
          </w:p>
        </w:tc>
        <w:tc>
          <w:tcPr>
            <w:vAlign w:val="center"/>
          </w:tcPr>
          <w:p w:rsidR="00000000" w:rsidDel="00000000" w:rsidP="00000000" w:rsidRDefault="00000000" w:rsidRPr="00000000" w14:paraId="00000085">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 in arrears within 90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86">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w:t>
            </w:r>
          </w:p>
          <w:p w:rsidR="00000000" w:rsidDel="00000000" w:rsidP="00000000" w:rsidRDefault="00000000" w:rsidRPr="00000000" w14:paraId="00000087">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Asset value]</w:t>
            </w:r>
            <w:r w:rsidDel="00000000" w:rsidR="00000000" w:rsidRPr="00000000">
              <w:rPr>
                <w:rtl w:val="0"/>
              </w:rPr>
            </w:r>
          </w:p>
        </w:tc>
        <w:tc>
          <w:tcPr>
            <w:vAlign w:val="center"/>
          </w:tcPr>
          <w:p w:rsidR="00000000" w:rsidDel="00000000" w:rsidP="00000000" w:rsidRDefault="00000000" w:rsidRPr="00000000" w14:paraId="00000088">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[Net Asset Value = Net Assets]</w:t>
            </w:r>
            <w:r w:rsidDel="00000000" w:rsidR="00000000" w:rsidRPr="00000000">
              <w:rPr>
                <w:rtl w:val="0"/>
              </w:rPr>
            </w:r>
          </w:p>
        </w:tc>
        <w:tc>
          <w:tcPr>
            <w:vAlign w:val="center"/>
          </w:tcPr>
          <w:p w:rsidR="00000000" w:rsidDel="00000000" w:rsidP="00000000" w:rsidRDefault="00000000" w:rsidRPr="00000000" w14:paraId="00000089">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u w:val="single"/>
                <w:rtl w:val="0"/>
              </w:rPr>
              <w:t xml:space="preserve">&lt; </w:t>
            </w:r>
            <w:r w:rsidDel="00000000" w:rsidR="00000000" w:rsidRPr="00000000">
              <w:rPr>
                <w:rFonts w:ascii="Arial" w:cs="Arial" w:eastAsia="Arial" w:hAnsi="Arial"/>
                <w:i w:val="1"/>
                <w:sz w:val="24"/>
                <w:szCs w:val="24"/>
                <w:rtl w:val="0"/>
              </w:rPr>
              <w:t xml:space="preserve">£0</w:t>
            </w:r>
            <w:r w:rsidDel="00000000" w:rsidR="00000000" w:rsidRPr="00000000">
              <w:rPr>
                <w:rtl w:val="0"/>
              </w:rPr>
            </w:r>
          </w:p>
        </w:tc>
        <w:tc>
          <w:tcPr>
            <w:vAlign w:val="center"/>
          </w:tcPr>
          <w:p w:rsidR="00000000" w:rsidDel="00000000" w:rsidP="00000000" w:rsidRDefault="00000000" w:rsidRPr="00000000" w14:paraId="0000008A">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 in arrears within 90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8B">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w:t>
            </w:r>
          </w:p>
          <w:p w:rsidR="00000000" w:rsidDel="00000000" w:rsidP="00000000" w:rsidRDefault="00000000" w:rsidRPr="00000000" w14:paraId="0000008C">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Group Exposure Ratio</w:t>
            </w:r>
          </w:p>
        </w:tc>
        <w:tc>
          <w:tcPr>
            <w:vAlign w:val="center"/>
          </w:tcPr>
          <w:p w:rsidR="00000000" w:rsidDel="00000000" w:rsidP="00000000" w:rsidRDefault="00000000" w:rsidRPr="00000000" w14:paraId="0000008D">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Group Exposure / Gross Assets</w:t>
            </w:r>
          </w:p>
        </w:tc>
        <w:tc>
          <w:tcPr>
            <w:vAlign w:val="center"/>
          </w:tcPr>
          <w:p w:rsidR="00000000" w:rsidDel="00000000" w:rsidP="00000000" w:rsidRDefault="00000000" w:rsidRPr="00000000" w14:paraId="0000008E">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&gt; 50%</w:t>
            </w:r>
          </w:p>
        </w:tc>
        <w:tc>
          <w:tcPr>
            <w:vAlign w:val="center"/>
          </w:tcPr>
          <w:p w:rsidR="00000000" w:rsidDel="00000000" w:rsidP="00000000" w:rsidRDefault="00000000" w:rsidRPr="00000000" w14:paraId="0000008F">
            <w:pPr>
              <w:spacing w:after="200" w:before="10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 in arrears within 90 days of each accounting reference date based upon figures at the relevant accounting reference date</w:t>
            </w:r>
          </w:p>
        </w:tc>
      </w:tr>
    </w:tbl>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Suppliers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w:t>
            </w:r>
          </w:p>
        </w:tc>
        <w:tc>
          <w:tcPr>
            <w:shd w:fill="d9d9d9" w:val="clea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Applicable Financial Indicators</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2 e.g Group Member, Sub-contractor, Relevant Parent Company etc.]</w:t>
            </w:r>
          </w:p>
        </w:tc>
        <w:tc>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p>
        </w:tc>
      </w:tr>
      <w:tr>
        <w:trPr>
          <w:cantSplit w:val="0"/>
          <w:tblHeader w:val="0"/>
        </w:trPr>
        <w:tc>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c>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r>
    </w:tbl>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rights</w:t>
      </w:r>
    </w:p>
    <w:p w:rsidR="00000000" w:rsidDel="00000000" w:rsidP="00000000" w:rsidRDefault="00000000" w:rsidRPr="00000000" w14:paraId="000000A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be entitled to terminate the Contract if:</w:t>
      </w:r>
    </w:p>
    <w:p w:rsidR="00000000" w:rsidDel="00000000" w:rsidP="00000000" w:rsidRDefault="00000000" w:rsidRPr="00000000" w14:paraId="000000A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2.3.3;</w:t>
      </w:r>
    </w:p>
    <w:p w:rsidR="00000000" w:rsidDel="00000000" w:rsidP="00000000" w:rsidRDefault="00000000" w:rsidRPr="00000000" w14:paraId="000000A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A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Primacy of Credit Ratings</w:t>
      </w:r>
    </w:p>
    <w:p w:rsidR="00000000" w:rsidDel="00000000" w:rsidP="00000000" w:rsidRDefault="00000000" w:rsidRPr="00000000" w14:paraId="000000A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A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A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Board confirmation</w:t>
      </w:r>
    </w:p>
    <w:p w:rsidR="00000000" w:rsidDel="00000000" w:rsidP="00000000" w:rsidRDefault="00000000" w:rsidRPr="00000000" w14:paraId="000000A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If the Contract has been specified as a Critical Service Contract under Paragraph 1.1 of Call-Off Schedule 24 (Corporate Resolution Planning)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A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A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0A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B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B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3">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B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Dun &amp; Bradstreet</w:t>
      </w:r>
      <w:r w:rsidDel="00000000" w:rsidR="00000000" w:rsidRPr="00000000">
        <w:rPr>
          <w:rtl w:val="0"/>
        </w:rPr>
      </w:r>
    </w:p>
    <w:p w:rsidR="00000000" w:rsidDel="00000000" w:rsidP="00000000" w:rsidRDefault="00000000" w:rsidRPr="00000000" w14:paraId="000000B5">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both"/>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2bn6wsx"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Annex 2</w:t>
      </w: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 </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Credit Ratings and Credit Rating Thresholds</w:t>
      </w:r>
      <w:r w:rsidDel="00000000" w:rsidR="00000000" w:rsidRPr="00000000">
        <w:rPr>
          <w:rtl w:val="0"/>
        </w:rPr>
      </w:r>
    </w:p>
    <w:tbl>
      <w:tblPr>
        <w:tblStyle w:val="Table4"/>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B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B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B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B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B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B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50</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BD">
            <w:pPr>
              <w:tabs>
                <w:tab w:val="left" w:leader="none" w:pos="1134"/>
              </w:tabs>
              <w:spacing w:after="120" w:before="120" w:lineRule="auto"/>
              <w:ind w:left="141.73228346456688"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[Key Sub-contractors]</w:t>
            </w:r>
            <w:r w:rsidDel="00000000" w:rsidR="00000000" w:rsidRPr="00000000">
              <w:rPr>
                <w:rtl w:val="0"/>
              </w:rPr>
            </w:r>
          </w:p>
        </w:tc>
        <w:tc>
          <w:tcPr>
            <w:shd w:fill="ffffff" w:val="clear"/>
          </w:tcPr>
          <w:p w:rsidR="00000000" w:rsidDel="00000000" w:rsidP="00000000" w:rsidRDefault="00000000" w:rsidRPr="00000000" w14:paraId="000000B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w:t>
            </w:r>
          </w:p>
        </w:tc>
      </w:tr>
    </w:tbl>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3: Calculation methodology for Financial Indicators</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bookmarkStart w:colFirst="0" w:colLast="0" w:name="_heading=h.qsh70q" w:id="4"/>
      <w:bookmarkEnd w:id="4"/>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Amend this section as appropriate to reflect the calculation methodology for those Financial Indicators that are selected for inclusion in Paragraph 5.1 of this Schedule]</w:t>
      </w: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uses the following general and specific methodologies for calculating the Financial Indicators against the </w:t>
      </w:r>
      <w:r w:rsidDel="00000000" w:rsidR="00000000" w:rsidRPr="00000000">
        <w:rPr>
          <w:rFonts w:ascii="Arial" w:cs="Arial" w:eastAsia="Arial" w:hAnsi="Arial"/>
          <w:sz w:val="24"/>
          <w:szCs w:val="24"/>
          <w:rtl w:val="0"/>
        </w:rPr>
        <w:t xml:space="preserve">Financial Threshold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General methodology</w:t>
      </w:r>
    </w:p>
    <w:p w:rsidR="00000000" w:rsidDel="00000000" w:rsidP="00000000" w:rsidRDefault="00000000" w:rsidRPr="00000000" w14:paraId="000000C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Terminology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C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5"/>
      <w:bookmarkEnd w:id="5"/>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C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Foreign currency conversion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C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Treatment of non-underlying items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Specific Methodology</w:t>
      </w:r>
    </w:p>
    <w:tbl>
      <w:tblPr>
        <w:tblStyle w:val="Table5"/>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0CC">
            <w:pPr>
              <w:spacing w:after="200" w:lineRule="auto"/>
              <w:jc w:val="left"/>
              <w:rPr>
                <w:rFonts w:ascii="Times New Roman" w:cs="Times New Roman" w:eastAsia="Times New Roman" w:hAnsi="Times New Roman"/>
                <w:sz w:val="24"/>
                <w:szCs w:val="24"/>
              </w:rPr>
            </w:pPr>
            <w:r w:rsidDel="00000000" w:rsidR="00000000" w:rsidRPr="00000000">
              <w:rPr>
                <w:rFonts w:ascii="Arial" w:cs="Arial" w:eastAsia="Arial" w:hAnsi="Arial"/>
                <w:b w:val="1"/>
                <w:sz w:val="24"/>
                <w:szCs w:val="24"/>
                <w:rtl w:val="0"/>
              </w:rPr>
              <w:t xml:space="preserve">1 </w:t>
            </w:r>
            <w:r w:rsidDel="00000000" w:rsidR="00000000" w:rsidRPr="00000000">
              <w:rPr>
                <w:rtl w:val="0"/>
              </w:rPr>
            </w:r>
          </w:p>
          <w:p w:rsidR="00000000" w:rsidDel="00000000" w:rsidP="00000000" w:rsidRDefault="00000000" w:rsidRPr="00000000" w14:paraId="000000CD">
            <w:pPr>
              <w:spacing w:after="200" w:lineRule="auto"/>
              <w:jc w:val="left"/>
              <w:rPr>
                <w:rFonts w:ascii="Times New Roman" w:cs="Times New Roman" w:eastAsia="Times New Roman" w:hAnsi="Times New Roman"/>
                <w:sz w:val="24"/>
                <w:szCs w:val="24"/>
              </w:rPr>
            </w:pPr>
            <w:r w:rsidDel="00000000" w:rsidR="00000000" w:rsidRPr="00000000">
              <w:rPr>
                <w:rFonts w:ascii="Arial" w:cs="Arial" w:eastAsia="Arial" w:hAnsi="Arial"/>
                <w:b w:val="1"/>
                <w:sz w:val="24"/>
                <w:szCs w:val="24"/>
                <w:rtl w:val="0"/>
              </w:rPr>
              <w:t xml:space="preserve">Turnover Ratio</w:t>
            </w:r>
            <w:r w:rsidDel="00000000" w:rsidR="00000000" w:rsidRPr="00000000">
              <w:rPr>
                <w:rtl w:val="0"/>
              </w:rPr>
            </w:r>
          </w:p>
          <w:p w:rsidR="00000000" w:rsidDel="00000000" w:rsidP="00000000" w:rsidRDefault="00000000" w:rsidRPr="00000000" w14:paraId="000000CE">
            <w:pPr>
              <w:spacing w:after="200" w:before="100" w:lineRule="auto"/>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CF">
            <w:pPr>
              <w:spacing w:after="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Revenue should be shown on the face of the Income Statement in a standard set of financial statements. It should exclude the entity’s share of the revenue of joint ventures or associates.</w:t>
            </w:r>
          </w:p>
        </w:tc>
      </w:tr>
      <w:tr>
        <w:trPr>
          <w:cantSplit w:val="0"/>
          <w:tblHeader w:val="0"/>
        </w:trPr>
        <w:tc>
          <w:tcPr>
            <w:vAlign w:val="center"/>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2</w:t>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Margin</w:t>
            </w:r>
          </w:p>
        </w:tc>
        <w:tc>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Figures for Operating Profit and Revenue should exclude the entity’s share of the results of any joint ventures or Associates.</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 entity has an operating loss (i.e. where the operating profit is negative), Operating Profit should be taken to be zero.</w:t>
            </w:r>
          </w:p>
        </w:tc>
      </w:tr>
      <w:tr>
        <w:trPr>
          <w:cantSplit w:val="0"/>
          <w:trHeight w:val="12285" w:hRule="atLeast"/>
          <w:tblHeader w:val="0"/>
        </w:trPr>
        <w:tc>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sz w:val="24"/>
                <w:szCs w:val="24"/>
              </w:rPr>
            </w:pPr>
            <w:r w:rsidDel="00000000" w:rsidR="00000000" w:rsidRPr="00000000">
              <w:rPr>
                <w:rFonts w:ascii="Arial" w:cs="Arial" w:eastAsia="Arial" w:hAnsi="Arial"/>
                <w:b w:val="1"/>
                <w:sz w:val="24"/>
                <w:szCs w:val="24"/>
                <w:rtl w:val="0"/>
              </w:rPr>
              <w:t xml:space="preserve">3</w:t>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to EBITDA Ratio</w:t>
            </w:r>
          </w:p>
        </w:tc>
        <w:tc>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 + Depreciation charge + Amortisation charge</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is negative (i.e. an entity has net cash), the relevant </w:t>
            </w:r>
            <w:r w:rsidDel="00000000" w:rsidR="00000000" w:rsidRPr="00000000">
              <w:rPr>
                <w:rFonts w:ascii="Arial" w:cs="Arial" w:eastAsia="Arial" w:hAnsi="Arial"/>
                <w:sz w:val="24"/>
                <w:szCs w:val="24"/>
                <w:rtl w:val="0"/>
              </w:rPr>
              <w:t xml:space="preserve">Financial Threshold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should be treated as having been met. </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bookmarkStart w:colFirst="0" w:colLast="0" w:name="_heading=h.1pxezwc" w:id="6"/>
            <w:bookmarkEnd w:id="6"/>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EBITDA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depreciation and amortisation charges for the period may be found on the face of the Statement of Cash Flows or in a Note to the Accounts. Where EBITDA is negative, the relevant </w:t>
            </w:r>
            <w:r w:rsidDel="00000000" w:rsidR="00000000" w:rsidRPr="00000000">
              <w:rPr>
                <w:rFonts w:ascii="Arial" w:cs="Arial" w:eastAsia="Arial" w:hAnsi="Arial"/>
                <w:i w:val="1"/>
                <w:sz w:val="24"/>
                <w:szCs w:val="24"/>
                <w:rtl w:val="0"/>
              </w:rPr>
              <w:t xml:space="preserve">Financial Threshold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should be treated as not having been met (unless Net Debt is also negative, in which case the relevant </w:t>
            </w:r>
            <w:r w:rsidDel="00000000" w:rsidR="00000000" w:rsidRPr="00000000">
              <w:rPr>
                <w:rFonts w:ascii="Arial" w:cs="Arial" w:eastAsia="Arial" w:hAnsi="Arial"/>
                <w:i w:val="1"/>
                <w:sz w:val="24"/>
                <w:szCs w:val="24"/>
                <w:rtl w:val="0"/>
              </w:rPr>
              <w:t xml:space="preserve">Financial Threshold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should be treated as having been met).</w:t>
            </w:r>
          </w:p>
        </w:tc>
      </w:tr>
      <w:tr>
        <w:trPr>
          <w:cantSplit w:val="0"/>
          <w:tblHeader w:val="0"/>
        </w:trPr>
        <w:tc>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w:t>
            </w:r>
          </w:p>
          <w:p w:rsidR="00000000" w:rsidDel="00000000" w:rsidP="00000000" w:rsidRDefault="00000000" w:rsidRPr="00000000" w14:paraId="000000E0">
            <w:pPr>
              <w:spacing w:after="200" w:before="10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Net Debt + Net  Pension Deficit to EBITDA ratio</w:t>
            </w:r>
            <w:r w:rsidDel="00000000" w:rsidR="00000000" w:rsidRPr="00000000">
              <w:rPr>
                <w:rtl w:val="0"/>
              </w:rPr>
            </w:r>
          </w:p>
        </w:tc>
        <w:tc>
          <w:tcPr/>
          <w:p w:rsidR="00000000" w:rsidDel="00000000" w:rsidP="00000000" w:rsidRDefault="00000000" w:rsidRPr="00000000" w14:paraId="000000E1">
            <w:pPr>
              <w:spacing w:after="200" w:before="100" w:lineRule="auto"/>
              <w:jc w:val="left"/>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Net Pension Deficit</w:t>
            </w:r>
            <w:r w:rsidDel="00000000" w:rsidR="00000000" w:rsidRPr="00000000">
              <w:rPr>
                <w:rFonts w:ascii="Arial" w:cs="Arial" w:eastAsia="Arial" w:hAnsi="Arial"/>
                <w:i w:val="1"/>
                <w:sz w:val="24"/>
                <w:szCs w:val="24"/>
                <w:rtl w:val="0"/>
              </w:rPr>
              <w:t xml:space="preserve">” = Retirement Benefit Obligations – Retirement Benefit Assets</w:t>
            </w:r>
          </w:p>
          <w:p w:rsidR="00000000" w:rsidDel="00000000" w:rsidP="00000000" w:rsidRDefault="00000000" w:rsidRPr="00000000" w14:paraId="000000E2">
            <w:pPr>
              <w:spacing w:after="200" w:before="100" w:lineRule="auto"/>
              <w:jc w:val="left"/>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b w:val="1"/>
                <w:i w:val="1"/>
                <w:sz w:val="24"/>
                <w:szCs w:val="24"/>
                <w:rtl w:val="0"/>
              </w:rPr>
              <w:t xml:space="preserve">EBITDA</w:t>
            </w:r>
            <w:r w:rsidDel="00000000" w:rsidR="00000000" w:rsidRPr="00000000">
              <w:rPr>
                <w:rFonts w:ascii="Arial" w:cs="Arial" w:eastAsia="Arial" w:hAnsi="Arial"/>
                <w:i w:val="1"/>
                <w:sz w:val="24"/>
                <w:szCs w:val="24"/>
                <w:rtl w:val="0"/>
              </w:rPr>
              <w:t xml:space="preserve">” = Operating profit + Depreciation charge + Amortisation charge</w:t>
            </w:r>
          </w:p>
          <w:p w:rsidR="00000000" w:rsidDel="00000000" w:rsidP="00000000" w:rsidRDefault="00000000" w:rsidRPr="00000000" w14:paraId="000000E3">
            <w:pPr>
              <w:spacing w:after="200" w:before="10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E4">
            <w:pPr>
              <w:spacing w:after="200" w:before="100" w:lineRule="auto"/>
              <w:jc w:val="left"/>
              <w:rPr>
                <w:rFonts w:ascii="Arial" w:cs="Arial" w:eastAsia="Arial" w:hAnsi="Arial"/>
                <w:sz w:val="24"/>
                <w:szCs w:val="24"/>
              </w:rPr>
            </w:pPr>
            <w:r w:rsidDel="00000000" w:rsidR="00000000" w:rsidRPr="00000000">
              <w:rPr>
                <w:rFonts w:ascii="Arial" w:cs="Arial" w:eastAsia="Arial" w:hAnsi="Arial"/>
                <w:i w:val="1"/>
                <w:sz w:val="24"/>
                <w:szCs w:val="24"/>
                <w:u w:val="single"/>
                <w:rtl w:val="0"/>
              </w:rPr>
              <w:t xml:space="preserve">Net Debt</w:t>
            </w:r>
            <w:r w:rsidDel="00000000" w:rsidR="00000000" w:rsidRPr="00000000">
              <w:rPr>
                <w:rFonts w:ascii="Arial" w:cs="Arial" w:eastAsia="Arial" w:hAnsi="Arial"/>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i w:val="1"/>
                <w:sz w:val="24"/>
                <w:szCs w:val="24"/>
                <w:rtl w:val="0"/>
              </w:rPr>
              <w:t xml:space="preserve">not</w:t>
            </w:r>
            <w:r w:rsidDel="00000000" w:rsidR="00000000" w:rsidRPr="00000000">
              <w:rPr>
                <w:rFonts w:ascii="Arial" w:cs="Arial" w:eastAsia="Arial" w:hAnsi="Arial"/>
                <w:sz w:val="24"/>
                <w:szCs w:val="24"/>
                <w:rtl w:val="0"/>
              </w:rPr>
              <w:t xml:space="preserve"> non-designated hedges). Borrowings should also include balances owed to other group members.</w:t>
            </w:r>
          </w:p>
          <w:p w:rsidR="00000000" w:rsidDel="00000000" w:rsidP="00000000" w:rsidRDefault="00000000" w:rsidRPr="00000000" w14:paraId="000000E5">
            <w:pPr>
              <w:spacing w:after="200" w:before="10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Deferred consideration payable should be included in Net Debt despite typically being non-interest bearing.</w:t>
            </w:r>
          </w:p>
          <w:p w:rsidR="00000000" w:rsidDel="00000000" w:rsidP="00000000" w:rsidRDefault="00000000" w:rsidRPr="00000000" w14:paraId="000000E6">
            <w:pPr>
              <w:spacing w:after="200" w:before="10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Cash and cash equivalents should include short-term financial investments shown in current assets.</w:t>
            </w:r>
          </w:p>
          <w:p w:rsidR="00000000" w:rsidDel="00000000" w:rsidP="00000000" w:rsidRDefault="00000000" w:rsidRPr="00000000" w14:paraId="000000E7">
            <w:pPr>
              <w:spacing w:after="200" w:before="100" w:lineRule="auto"/>
              <w:jc w:val="left"/>
              <w:rPr>
                <w:rFonts w:ascii="Arial" w:cs="Arial" w:eastAsia="Arial" w:hAnsi="Arial"/>
                <w:sz w:val="24"/>
                <w:szCs w:val="24"/>
              </w:rPr>
            </w:pPr>
            <w:r w:rsidDel="00000000" w:rsidR="00000000" w:rsidRPr="00000000">
              <w:rPr>
                <w:rFonts w:ascii="Arial" w:cs="Arial" w:eastAsia="Arial" w:hAnsi="Arial"/>
                <w:i w:val="1"/>
                <w:sz w:val="24"/>
                <w:szCs w:val="24"/>
                <w:u w:val="single"/>
                <w:rtl w:val="0"/>
              </w:rPr>
              <w:t xml:space="preserve">Net Pension Deficit</w:t>
            </w:r>
            <w:r w:rsidDel="00000000" w:rsidR="00000000" w:rsidRPr="00000000">
              <w:rPr>
                <w:rFonts w:ascii="Arial" w:cs="Arial" w:eastAsia="Arial" w:hAnsi="Arial"/>
                <w:sz w:val="24"/>
                <w:szCs w:val="24"/>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0E8">
            <w:pPr>
              <w:spacing w:after="200" w:before="10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‘Net Debt + Net Pension Deficit’ is negative, the relevant Financial Target Threshold should be treated as having been met.</w:t>
            </w:r>
          </w:p>
          <w:p w:rsidR="00000000" w:rsidDel="00000000" w:rsidP="00000000" w:rsidRDefault="00000000" w:rsidRPr="00000000" w14:paraId="000000E9">
            <w:pPr>
              <w:spacing w:after="200" w:before="100" w:lineRule="auto"/>
              <w:jc w:val="left"/>
              <w:rPr>
                <w:rFonts w:ascii="Arial" w:cs="Arial" w:eastAsia="Arial" w:hAnsi="Arial"/>
                <w:sz w:val="24"/>
                <w:szCs w:val="24"/>
              </w:rPr>
            </w:pPr>
            <w:r w:rsidDel="00000000" w:rsidR="00000000" w:rsidRPr="00000000">
              <w:rPr>
                <w:rFonts w:ascii="Arial" w:cs="Arial" w:eastAsia="Arial" w:hAnsi="Arial"/>
                <w:i w:val="1"/>
                <w:sz w:val="24"/>
                <w:szCs w:val="24"/>
                <w:u w:val="single"/>
                <w:rtl w:val="0"/>
              </w:rPr>
              <w:t xml:space="preserve">EBITDA</w:t>
            </w:r>
            <w:r w:rsidDel="00000000" w:rsidR="00000000" w:rsidRPr="00000000">
              <w:rPr>
                <w:rFonts w:ascii="Arial" w:cs="Arial" w:eastAsia="Arial" w:hAnsi="Arial"/>
                <w:sz w:val="24"/>
                <w:szCs w:val="24"/>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0EA">
            <w:pPr>
              <w:spacing w:after="200" w:before="100" w:lineRule="auto"/>
              <w:jc w:val="left"/>
              <w:rPr>
                <w:rFonts w:ascii="Arial" w:cs="Arial" w:eastAsia="Arial" w:hAnsi="Arial"/>
                <w:sz w:val="24"/>
                <w:szCs w:val="24"/>
              </w:rPr>
            </w:pPr>
            <w:bookmarkStart w:colFirst="0" w:colLast="0" w:name="_heading=h.49x2ik5" w:id="7"/>
            <w:bookmarkEnd w:id="7"/>
            <w:r w:rsidDel="00000000" w:rsidR="00000000" w:rsidRPr="00000000">
              <w:rPr>
                <w:rFonts w:ascii="Arial" w:cs="Arial" w:eastAsia="Arial" w:hAnsi="Arial"/>
                <w:sz w:val="24"/>
                <w:szCs w:val="24"/>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0EB">
            <w:pPr>
              <w:spacing w:after="200" w:before="10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Interest Paid Cover</w:t>
            </w:r>
          </w:p>
        </w:tc>
        <w:tc>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Earnings Before Interest and Tax</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Interest Paid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Interest paid – Interest received</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Interest received and interest paid should be shown on the face of the Cash Flow statement.</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interest paid is negative (i.e. the entity has net interest received), the relevant </w:t>
            </w:r>
            <w:r w:rsidDel="00000000" w:rsidR="00000000" w:rsidRPr="00000000">
              <w:rPr>
                <w:rFonts w:ascii="Arial" w:cs="Arial" w:eastAsia="Arial" w:hAnsi="Arial"/>
                <w:sz w:val="24"/>
                <w:szCs w:val="24"/>
                <w:rtl w:val="0"/>
              </w:rPr>
              <w:t xml:space="preserve">Financial Threshold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should be treated as having been met.</w:t>
            </w:r>
          </w:p>
        </w:tc>
      </w:tr>
      <w:tr>
        <w:trPr>
          <w:cantSplit w:val="0"/>
          <w:tblHeader w:val="0"/>
        </w:trPr>
        <w:tc>
          <w:tcPr>
            <w:vAlign w:val="center"/>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6</w:t>
            </w: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Acid Ratio</w:t>
            </w:r>
          </w:p>
        </w:tc>
        <w:tc>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7</w:t>
            </w: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Asset value</w:t>
            </w:r>
          </w:p>
        </w:tc>
        <w:tc>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8</w:t>
            </w: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Group Exposure Ratio</w:t>
            </w:r>
          </w:p>
        </w:tc>
        <w:tc>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 Exposure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Balances owed by Group Undertakings + Contingent liabilities assumed in support of Group Undertakings</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Gross Assets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Fixed Assets + Current Assets</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Group Exposure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w:t>
            </w:r>
            <w:r w:rsidDel="00000000" w:rsidR="00000000" w:rsidRPr="00000000">
              <w:rPr>
                <w:rFonts w:ascii="Arial" w:cs="Arial" w:eastAsia="Arial" w:hAnsi="Arial"/>
                <w:sz w:val="24"/>
                <w:szCs w:val="24"/>
                <w:rtl w:val="0"/>
              </w:rPr>
              <w:t xml:space="preserve">Financial Threshold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should automatically be regarded as not having been met.</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Gross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Both Fixed assets and Current assets are shown on the face of the Balance Sheet</w:t>
            </w:r>
          </w:p>
        </w:tc>
      </w:tr>
    </w:tbl>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2">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left"/>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2p2csry" w:id="8"/>
      <w:bookmarkEnd w:id="8"/>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Annex 4: Board Confirmation</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Name:</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Reference Number:</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acknowledge the requirements set out at paragraph 8 of Joint Schedule 7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Financial Distress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previous Board Confirmation and the Effective Date or is subsisting; or</w:t>
      </w:r>
    </w:p>
    <w:p w:rsidR="00000000" w:rsidDel="00000000" w:rsidP="00000000" w:rsidRDefault="00000000" w:rsidRPr="00000000" w14:paraId="000001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behalf of the Board of Directors:</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Chair</w:t>
        <w:tab/>
        <w:tab/>
        <w:t xml:space="preserve">…………………………………</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tab/>
        <w:tab/>
        <w:t xml:space="preserve">…………………………………</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16">
      <w:pPr>
        <w:spacing w:after="200" w:line="276" w:lineRule="auto"/>
        <w:jc w:val="left"/>
        <w:rPr>
          <w:rFonts w:ascii="Arial" w:cs="Arial" w:eastAsia="Arial" w:hAnsi="Arial"/>
          <w:sz w:val="24"/>
          <w:szCs w:val="24"/>
        </w:rPr>
      </w:pPr>
      <w:bookmarkStart w:colFirst="0" w:colLast="0" w:name="_heading=h.4i7ojhp" w:id="10"/>
      <w:bookmarkEnd w:id="10"/>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Georgia"/>
  <w:font w:name="Arial"/>
  <w:font w:name="Times New Roman"/>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1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RM6309</w:t>
      <w:tab/>
      <w:t xml:space="preserve">                                           </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B">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v3.6</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1C">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E">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w:t>
    </w:r>
    <w:r w:rsidDel="00000000" w:rsidR="00000000" w:rsidRPr="00000000">
      <w:rPr>
        <w:rFonts w:ascii="Arial" w:cs="Arial" w:eastAsia="Arial" w:hAnsi="Arial"/>
        <w:sz w:val="20"/>
        <w:szCs w:val="20"/>
        <w:rtl w:val="0"/>
      </w:rPr>
      <w:t xml:space="preserve">4</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rsid w:val="00A96D9C"/>
    <w:pPr>
      <w:keepNext w:val="1"/>
      <w:keepLines w:val="1"/>
      <w:spacing w:after="120" w:before="480"/>
      <w:outlineLvl w:val="0"/>
    </w:pPr>
    <w:rPr>
      <w:b w:val="1"/>
      <w:sz w:val="48"/>
      <w:szCs w:val="48"/>
      <w:lang w:eastAsia="en-GB"/>
    </w:rPr>
  </w:style>
  <w:style w:type="paragraph" w:styleId="Heading2">
    <w:name w:val="heading 2"/>
    <w:basedOn w:val="Normal"/>
    <w:next w:val="Normal"/>
    <w:link w:val="Heading2Char"/>
    <w:rsid w:val="00A96D9C"/>
    <w:pPr>
      <w:keepNext w:val="1"/>
      <w:keepLines w:val="1"/>
      <w:spacing w:after="80" w:before="360"/>
      <w:outlineLvl w:val="1"/>
    </w:pPr>
    <w:rPr>
      <w:b w:val="1"/>
      <w:sz w:val="36"/>
      <w:szCs w:val="36"/>
      <w:lang w:eastAsia="en-GB"/>
    </w:rPr>
  </w:style>
  <w:style w:type="paragraph" w:styleId="Heading3">
    <w:name w:val="heading 3"/>
    <w:basedOn w:val="Normal"/>
    <w:next w:val="Normal"/>
    <w:link w:val="Heading3Char"/>
    <w:rsid w:val="00A96D9C"/>
    <w:pPr>
      <w:keepNext w:val="1"/>
      <w:keepLines w:val="1"/>
      <w:spacing w:after="80" w:before="280"/>
      <w:outlineLvl w:val="2"/>
    </w:pPr>
    <w:rPr>
      <w:b w:val="1"/>
      <w:sz w:val="28"/>
      <w:szCs w:val="28"/>
      <w:lang w:eastAsia="en-GB"/>
    </w:rPr>
  </w:style>
  <w:style w:type="paragraph" w:styleId="Heading4">
    <w:name w:val="heading 4"/>
    <w:basedOn w:val="Normal"/>
    <w:next w:val="Normal"/>
    <w:link w:val="Heading4Char"/>
    <w:rsid w:val="00A96D9C"/>
    <w:pPr>
      <w:keepNext w:val="1"/>
      <w:keepLines w:val="1"/>
      <w:spacing w:after="40" w:before="240"/>
      <w:outlineLvl w:val="3"/>
    </w:pPr>
    <w:rPr>
      <w:b w:val="1"/>
      <w:sz w:val="24"/>
      <w:szCs w:val="24"/>
      <w:lang w:eastAsia="en-GB"/>
    </w:rPr>
  </w:style>
  <w:style w:type="paragraph" w:styleId="Heading5">
    <w:name w:val="heading 5"/>
    <w:basedOn w:val="Normal"/>
    <w:next w:val="Normal"/>
    <w:link w:val="Heading5Char"/>
    <w:rsid w:val="00A96D9C"/>
    <w:pPr>
      <w:keepNext w:val="1"/>
      <w:keepLines w:val="1"/>
      <w:spacing w:after="40" w:before="220"/>
      <w:outlineLvl w:val="4"/>
    </w:pPr>
    <w:rPr>
      <w:b w:val="1"/>
      <w:lang w:eastAsia="en-GB"/>
    </w:rPr>
  </w:style>
  <w:style w:type="paragraph" w:styleId="Heading6">
    <w:name w:val="heading 6"/>
    <w:basedOn w:val="Normal"/>
    <w:next w:val="Normal"/>
    <w:link w:val="Heading6Char"/>
    <w:rsid w:val="00A96D9C"/>
    <w:pPr>
      <w:keepNext w:val="1"/>
      <w:keepLines w:val="1"/>
      <w:spacing w:after="40" w:before="200"/>
      <w:outlineLvl w:val="5"/>
    </w:pPr>
    <w:rPr>
      <w:b w:val="1"/>
      <w:sz w:val="20"/>
      <w:szCs w:val="20"/>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A96D9C"/>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A96D9C"/>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A96D9C"/>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A96D9C"/>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A96D9C"/>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A96D9C"/>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4"/>
      </w:numPr>
      <w:overflowPunct w:val="1"/>
      <w:autoSpaceDE w:val="1"/>
      <w:autoSpaceDN w:val="1"/>
      <w:adjustRightInd w:val="1"/>
      <w:spacing w:after="300" w:before="100"/>
      <w:jc w:val="center"/>
      <w:textAlignment w:val="auto"/>
    </w:pPr>
    <w:rPr>
      <w:rFonts w:ascii="Arial Bold" w:cs="Times New Roman" w:hAnsi="Arial Bold"/>
      <w:b w:val="1"/>
      <w:caps w:val="1"/>
      <w:sz w:val="24"/>
      <w:szCs w:val="24"/>
      <w:lang w:eastAsia="en-GB"/>
    </w:rPr>
  </w:style>
  <w:style w:type="paragraph" w:styleId="AppendixText1" w:customStyle="1">
    <w:name w:val="Appendix Text 1"/>
    <w:basedOn w:val="Normal"/>
    <w:next w:val="StdBodyText1"/>
    <w:rsid w:val="006B02AC"/>
    <w:pPr>
      <w:numPr>
        <w:numId w:val="5"/>
      </w:num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paragraph" w:styleId="AppendixText2" w:customStyle="1">
    <w:name w:val="Appendix Text 2"/>
    <w:basedOn w:val="AppendixText1"/>
    <w:next w:val="Normal"/>
    <w:rsid w:val="006B02AC"/>
    <w:pPr>
      <w:numPr>
        <w:ilvl w:val="1"/>
      </w:numPr>
    </w:pPr>
    <w:rPr>
      <w:b w:val="0"/>
    </w:rPr>
  </w:style>
  <w:style w:type="paragraph" w:styleId="AppendixText3" w:customStyle="1">
    <w:name w:val="Appendix Text 3"/>
    <w:basedOn w:val="Normal"/>
    <w:next w:val="Normal"/>
    <w:rsid w:val="006B02AC"/>
    <w:pPr>
      <w:numPr>
        <w:ilvl w:val="2"/>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4" w:customStyle="1">
    <w:name w:val="Appendix Text 4"/>
    <w:basedOn w:val="Normal"/>
    <w:next w:val="Normal"/>
    <w:rsid w:val="006B02AC"/>
    <w:pPr>
      <w:numPr>
        <w:ilvl w:val="3"/>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5" w:customStyle="1">
    <w:name w:val="Appendix Text 5"/>
    <w:basedOn w:val="Normal"/>
    <w:next w:val="Normal"/>
    <w:rsid w:val="006B02AC"/>
    <w:pPr>
      <w:numPr>
        <w:ilvl w:val="4"/>
        <w:numId w:val="5"/>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pPr>
      <w:numPr>
        <w:numId w:val="7"/>
      </w:numPr>
    </w:pPr>
  </w:style>
  <w:style w:type="numbering" w:styleId="Scheduleheading" w:customStyle="1">
    <w:name w:val="Schedule heading"/>
    <w:uiPriority w:val="99"/>
    <w:rsid w:val="0034142A"/>
    <w:pPr>
      <w:numPr>
        <w:numId w:val="8"/>
      </w:numPr>
    </w:pPr>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lang w:eastAsia="en-GB"/>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paragraph" w:styleId="Title">
    <w:name w:val="Title"/>
    <w:basedOn w:val="Normal"/>
    <w:next w:val="Normal"/>
    <w:link w:val="TitleChar"/>
    <w:rsid w:val="00A96D9C"/>
    <w:pPr>
      <w:keepNext w:val="1"/>
      <w:keepLines w:val="1"/>
      <w:spacing w:after="120" w:before="480"/>
    </w:pPr>
    <w:rPr>
      <w:b w:val="1"/>
      <w:sz w:val="72"/>
      <w:szCs w:val="72"/>
      <w:lang w:eastAsia="en-GB"/>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paragraph" w:styleId="Subtitle">
    <w:name w:val="Subtitle"/>
    <w:basedOn w:val="Normal"/>
    <w:next w:val="Normal"/>
    <w:link w:val="SubtitleChar"/>
    <w:rsid w:val="00A96D9C"/>
    <w:pPr>
      <w:keepNext w:val="1"/>
      <w:keepLines w:val="1"/>
      <w:spacing w:after="80" w:before="360"/>
    </w:pPr>
    <w:rPr>
      <w:rFonts w:ascii="Georgia" w:cs="Georgia" w:eastAsia="Georgia" w:hAnsi="Georgia"/>
      <w:i w:val="1"/>
      <w:color w:val="666666"/>
      <w:sz w:val="48"/>
      <w:szCs w:val="48"/>
      <w:lang w:eastAsia="en-GB"/>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et9U5sKPxvGwIJpmAM3QMauH3g==">CgMxLjAyCWguM2R5NnZrbTIJaC4xY2k5M3hiMgloLjN3aHdtbDQyCWguMmJuNndzeDIIaC5xc2g3MHEyCWguM2FzNHBvajIJaC4xcHhlendjMgloLjQ5eDJpazUyCWguMnAyY3NyeTIJaC4xNDduMnpyMgloLjRpN29qaHA4AHIhMTZ1UEhNWk93Rk1oZXlOSFFtOVN6NzVoZ3dTQUc5Z0p2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2023-02-05T22:26:00Z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